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31" w:rsidRDefault="00ED4431">
      <w:pPr>
        <w:rPr>
          <w:lang w:val="ru-RU"/>
        </w:rPr>
      </w:pPr>
    </w:p>
    <w:p w:rsidR="00ED4431" w:rsidRDefault="00ED4431">
      <w:pPr>
        <w:rPr>
          <w:lang w:val="ru-RU"/>
        </w:rPr>
      </w:pPr>
    </w:p>
    <w:p w:rsidR="00ED4431" w:rsidRDefault="00ED4431">
      <w:pPr>
        <w:rPr>
          <w:lang w:val="ru-RU"/>
        </w:rPr>
      </w:pPr>
    </w:p>
    <w:p w:rsidR="00ED4431" w:rsidRDefault="00ED4431">
      <w:pPr>
        <w:rPr>
          <w:lang w:val="ru-RU"/>
        </w:rPr>
      </w:pPr>
    </w:p>
    <w:p w:rsidR="00ED4431" w:rsidRDefault="00ED4431">
      <w:pPr>
        <w:rPr>
          <w:lang w:val="ru-RU"/>
        </w:rPr>
      </w:pPr>
    </w:p>
    <w:p w:rsidR="00ED4431" w:rsidRDefault="00ED4431">
      <w:pPr>
        <w:rPr>
          <w:lang w:val="ru-RU"/>
        </w:rPr>
      </w:pPr>
    </w:p>
    <w:p w:rsidR="002A28AC" w:rsidRPr="007B0F54" w:rsidRDefault="00070ECE" w:rsidP="002A28AC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7B0F54">
        <w:rPr>
          <w:rFonts w:ascii="Times New Roman" w:hAnsi="Times New Roman" w:cs="Times New Roman"/>
          <w:color w:val="auto"/>
          <w:sz w:val="32"/>
          <w:szCs w:val="32"/>
          <w:lang w:val="ru-RU"/>
        </w:rPr>
        <w:t>Учебно-методическое пособие</w:t>
      </w:r>
    </w:p>
    <w:p w:rsidR="002A28AC" w:rsidRPr="007B0F54" w:rsidRDefault="002A28AC" w:rsidP="002A28AC">
      <w:pPr>
        <w:pStyle w:val="21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7B0F54">
        <w:rPr>
          <w:rFonts w:ascii="Times New Roman" w:hAnsi="Times New Roman" w:cs="Times New Roman"/>
          <w:color w:val="auto"/>
          <w:sz w:val="32"/>
          <w:szCs w:val="32"/>
          <w:lang w:val="ru-RU"/>
        </w:rPr>
        <w:t>«Влияние игровых технологий на мотивацию школьников к занятиям баскетболом»</w:t>
      </w:r>
    </w:p>
    <w:p w:rsidR="002A28AC" w:rsidRPr="007B0F54" w:rsidRDefault="002A28AC" w:rsidP="002A28AC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B0F54">
        <w:rPr>
          <w:rFonts w:ascii="Times New Roman" w:hAnsi="Times New Roman" w:cs="Times New Roman"/>
          <w:sz w:val="32"/>
          <w:szCs w:val="32"/>
          <w:lang w:val="ru-RU"/>
        </w:rPr>
        <w:t>Автор: Сатеков Темирхан Галыович</w:t>
      </w:r>
      <w:r w:rsidRPr="007B0F54">
        <w:rPr>
          <w:rFonts w:ascii="Times New Roman" w:hAnsi="Times New Roman" w:cs="Times New Roman"/>
          <w:sz w:val="32"/>
          <w:szCs w:val="32"/>
          <w:lang w:val="ru-RU"/>
        </w:rPr>
        <w:br/>
        <w:t>Учитель физической культуры</w:t>
      </w:r>
      <w:r w:rsidRPr="007B0F54">
        <w:rPr>
          <w:rFonts w:ascii="Times New Roman" w:hAnsi="Times New Roman" w:cs="Times New Roman"/>
          <w:sz w:val="32"/>
          <w:szCs w:val="32"/>
          <w:lang w:val="ru-RU"/>
        </w:rPr>
        <w:br/>
        <w:t xml:space="preserve">КГУ «ООШ №2» п. </w:t>
      </w:r>
      <w:proofErr w:type="spellStart"/>
      <w:r w:rsidRPr="007B0F54">
        <w:rPr>
          <w:rFonts w:ascii="Times New Roman" w:hAnsi="Times New Roman" w:cs="Times New Roman"/>
          <w:sz w:val="32"/>
          <w:szCs w:val="32"/>
          <w:lang w:val="ru-RU"/>
        </w:rPr>
        <w:t>Аршалы</w:t>
      </w:r>
      <w:proofErr w:type="spellEnd"/>
      <w:r w:rsidRPr="007B0F54">
        <w:rPr>
          <w:rFonts w:ascii="Times New Roman" w:hAnsi="Times New Roman" w:cs="Times New Roman"/>
          <w:sz w:val="32"/>
          <w:szCs w:val="32"/>
          <w:lang w:val="ru-RU"/>
        </w:rPr>
        <w:br/>
        <w:t>Классы: 5–11</w:t>
      </w:r>
      <w:r w:rsidRPr="007B0F54">
        <w:rPr>
          <w:rFonts w:ascii="Times New Roman" w:hAnsi="Times New Roman" w:cs="Times New Roman"/>
          <w:sz w:val="32"/>
          <w:szCs w:val="32"/>
          <w:lang w:val="ru-RU"/>
        </w:rPr>
        <w:br/>
      </w:r>
    </w:p>
    <w:p w:rsidR="00ED4431" w:rsidRPr="007B0F54" w:rsidRDefault="00ED4431" w:rsidP="002A28AC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D4431" w:rsidRPr="007B0F54" w:rsidRDefault="00ED443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УТВЕРЖДАЮ: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Директор КГУ «ООШ №2» ____</w:t>
      </w:r>
      <w:r w:rsidR="00412E3B" w:rsidRPr="007B0F54">
        <w:rPr>
          <w:rFonts w:ascii="Times New Roman" w:hAnsi="Times New Roman" w:cs="Times New Roman"/>
          <w:sz w:val="24"/>
          <w:szCs w:val="24"/>
          <w:lang w:val="ru-RU"/>
        </w:rPr>
        <w:t>_______________________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________ /Ф.И.О./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«___» __________ 2025 г.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192DF5" w:rsidP="002A28AC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u w:val="single"/>
          <w:lang w:val="ru-RU" w:eastAsia="ru-RU"/>
        </w:rPr>
        <w:drawing>
          <wp:inline distT="0" distB="0" distL="0" distR="0">
            <wp:extent cx="5486400" cy="8232775"/>
            <wp:effectExtent l="19050" t="0" r="0" b="0"/>
            <wp:docPr id="4" name="Рисунок 1" descr="0d252e74-dd74-4df9-b937-d539ce23d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252e74-dd74-4df9-b937-d539ce23d4b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DF5" w:rsidRDefault="00192DF5" w:rsidP="002A28AC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</w:pPr>
    </w:p>
    <w:p w:rsidR="00ED4431" w:rsidRPr="007B0F54" w:rsidRDefault="00192DF5" w:rsidP="002A28AC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lastRenderedPageBreak/>
        <w:t xml:space="preserve"> </w:t>
      </w:r>
      <w:r w:rsidR="00ED4431" w:rsidRPr="007B0F54"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  <w:t>«Влияние игровых технологий на мотивацию школьников к занятиям баскетболом»</w:t>
      </w:r>
    </w:p>
    <w:p w:rsidR="00ED4431" w:rsidRPr="007B0F54" w:rsidRDefault="00ED4431" w:rsidP="002A28AC">
      <w:pPr>
        <w:pStyle w:val="2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1. Актуальность </w:t>
      </w:r>
      <w:r w:rsidR="00DC59E1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пособия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Современные школьники демонстрируют низкий уровень двигательной активности на фоне роста экранного времени. Это приводит к снижению мотивации к урокам физической культуры, что напрямую отражается на здоровье, осанке, массе тела и эмоциональной устойчивости.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Баскетбол — динамичный игровой вид спорта, который сочетает высокую физическую нагрузку, </w:t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соревновательность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и командное взаимодействие.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Игровые технологии (мини-игры, </w:t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челленджи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, соревновательные задания, формат 2×2 и 3×3) позволяют: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повысить интерес и включённость;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сформировать внутреннюю мотивацию;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закрепить технические навыки;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усилить эмоциональное восприятие урока;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создать позитивную привычку к движению.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2. Цель </w:t>
      </w:r>
      <w:r w:rsidR="00DC59E1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пособия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Повышение мотивации школьников к регулярным занятиям физической культурой через внедрение игровых технологий при обучении элементам баскетбола.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3. Задачи </w:t>
      </w:r>
      <w:r w:rsidR="00DC59E1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пособия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Образовательные: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освоить стойку, перемещения, ведение, передачи и броски;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развить скорость, координацию, реакцию;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научить ориентироваться в игровой ситуации.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Развивающие: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формировать уверенность и эмоциональную устойчивость;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развивать соревновательный интерес;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совершенствовать коммуникативные навыки.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Воспитательные: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foster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fair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play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и дисциплину;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формировать чувство ответственности за команду;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стимулировать интерес к здоровому образу жизни.</w:t>
      </w:r>
    </w:p>
    <w:p w:rsidR="00DC59E1" w:rsidRPr="007B0F54" w:rsidRDefault="00DC59E1" w:rsidP="00DC59E1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Психолого</w:t>
      </w:r>
      <w:proofErr w:type="spellEnd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–возрастные особенности</w:t>
      </w:r>
    </w:p>
    <w:p w:rsidR="00DC59E1" w:rsidRPr="007B0F54" w:rsidRDefault="00DC59E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5–6 классы — игровая деятельность, развитие базовой моторики.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 xml:space="preserve">7–8 классы —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соревновательность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, эмоциональность.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9 класс — самооценка, критичность.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10–11 — осознанный ЗОЖ, лидерство.</w:t>
      </w:r>
      <w:proofErr w:type="gramEnd"/>
    </w:p>
    <w:p w:rsidR="00DC59E1" w:rsidRPr="007B0F54" w:rsidRDefault="00ED4431" w:rsidP="00DC59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4. Возраст </w:t>
      </w:r>
      <w:proofErr w:type="spellStart"/>
      <w:r w:rsidRPr="007B0F54">
        <w:rPr>
          <w:rFonts w:ascii="Times New Roman" w:hAnsi="Times New Roman" w:cs="Times New Roman"/>
          <w:b/>
          <w:sz w:val="24"/>
          <w:szCs w:val="24"/>
          <w:lang w:val="ru-RU"/>
        </w:rPr>
        <w:t>участнико</w:t>
      </w:r>
      <w:proofErr w:type="spellEnd"/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рассчитана 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2A28AC" w:rsidRPr="007B0F54">
        <w:rPr>
          <w:rFonts w:ascii="Times New Roman" w:hAnsi="Times New Roman" w:cs="Times New Roman"/>
          <w:sz w:val="24"/>
          <w:szCs w:val="24"/>
          <w:lang w:val="ru-RU"/>
        </w:rPr>
        <w:t>учающихся</w:t>
      </w:r>
      <w:proofErr w:type="gramEnd"/>
      <w:r w:rsidR="002A28AC"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среднего звена — 11–17 лет (5–11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классы).</w:t>
      </w:r>
    </w:p>
    <w:p w:rsidR="00DC59E1" w:rsidRPr="007B0F54" w:rsidRDefault="00ED4431" w:rsidP="00DC59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/>
          <w:sz w:val="24"/>
          <w:szCs w:val="24"/>
          <w:lang w:val="ru-RU"/>
        </w:rPr>
        <w:t>5. Формат реализации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в рамках уроков физической культуры;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на факультативах или спортивных секциях;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в форме учебных игр и мини-турниров.</w:t>
      </w:r>
    </w:p>
    <w:p w:rsidR="00DC59E1" w:rsidRPr="007B0F54" w:rsidRDefault="00ED4431" w:rsidP="00DC59E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Игровые технологии </w:t>
      </w:r>
      <w:r w:rsidR="00DC59E1" w:rsidRPr="007B0F54">
        <w:rPr>
          <w:rFonts w:ascii="Times New Roman" w:hAnsi="Times New Roman" w:cs="Times New Roman"/>
          <w:b/>
          <w:sz w:val="24"/>
          <w:szCs w:val="24"/>
          <w:lang w:val="ru-RU"/>
        </w:rPr>
        <w:t>пособия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Применяются следующие формы: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Мини-игры на отработку техники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«Змейка» на ведение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«Передай и беги»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«Бросок на точност</w:t>
      </w:r>
      <w:r w:rsidR="00DC59E1" w:rsidRPr="007B0F54">
        <w:rPr>
          <w:rFonts w:ascii="Times New Roman" w:hAnsi="Times New Roman" w:cs="Times New Roman"/>
          <w:sz w:val="24"/>
          <w:szCs w:val="24"/>
          <w:lang w:val="ru-RU"/>
        </w:rPr>
        <w:t>ь</w:t>
      </w:r>
    </w:p>
    <w:p w:rsidR="00DC59E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Соревновательные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челленджи</w:t>
      </w:r>
      <w:proofErr w:type="spellEnd"/>
    </w:p>
    <w:p w:rsidR="00ED4431" w:rsidRPr="007B0F54" w:rsidRDefault="00ED4431" w:rsidP="00DC59E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ab/>
        <w:t>Кто быстрее выполнит 10 точных передач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20 ведений и бросок с места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Точки попаданий в корзину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Командные форматы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2×2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3×3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«Захват зон»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Игры на внимание и реакцию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«</w:t>
      </w:r>
      <w:proofErr w:type="gram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старт–стоп</w:t>
      </w:r>
      <w:proofErr w:type="gram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»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ведение по сигналу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зрительный контакт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7. Основные модули п</w:t>
      </w:r>
      <w:r w:rsidR="00DC59E1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особи</w:t>
      </w:r>
      <w:proofErr w:type="gramStart"/>
      <w:r w:rsidR="00DC59E1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я</w:t>
      </w: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(</w:t>
      </w:r>
      <w:proofErr w:type="gramEnd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по этапам обучения)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I этап — адаптационный (4 занятия)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знакомство с правилами;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стойка и перемещения;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игровые задания на внимание.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II этап — технический (6 занятий)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ведение мяча;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передачи в парах;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челленджи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на точность.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III этап — игровой (6 занятий)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броски по корзине;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игры 2×2 и 3×3;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мини-соревнования.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IV этап — соревновательный (4 занятия)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турнир внутри класса;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рейтинговая таблица;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самооценка результатов.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8. Формы контроля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тестирование физических качеств;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выполнение технических нормативов;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игровые задания на время;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</w:r>
      <w:proofErr w:type="spellStart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самооценочные</w:t>
      </w:r>
      <w:proofErr w:type="spellEnd"/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анкеты мотивации.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9. Ожидаемые результаты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lastRenderedPageBreak/>
        <w:t>После завершения программы учащиеся: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демонстрируют рост интереса к занятиям спортом;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уверенно выполняют технические элементы;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активно участвуют в учебных играх;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проявляют спортивный характер и ответственность;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формируют привычку двигательной активности.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10. Критерии успешности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рост посещаемости занятий;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снижение отказов от участия;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позитивная самооценка;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повышение уровня техники;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улучшение результатов тестов.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11. Практическая значимость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Программа применима: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на уроках физкультуры;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в секциях;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в рамках апробации для аттестации педагога;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•</w:t>
      </w: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ab/>
        <w:t>для публикации и распространения методического опыта.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12. Заключение</w:t>
      </w:r>
    </w:p>
    <w:p w:rsidR="00ED4431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560C52" w:rsidRPr="007B0F54" w:rsidRDefault="00ED4431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Игровые технологии в обучении баскетболу позволяют соединить физическую активность и эмоциональную вовлечённость, формируя у школьников устойчивую мотивацию к здоровому образу жизни и регулярным занятиям спортом.</w:t>
      </w:r>
    </w:p>
    <w:p w:rsidR="00560C52" w:rsidRPr="007B0F54" w:rsidRDefault="00560C52" w:rsidP="00ED4431">
      <w:pPr>
        <w:pStyle w:val="2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0ECE" w:rsidRPr="007B0F54" w:rsidRDefault="00070ECE" w:rsidP="00070ECE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Методические решения по теме:</w:t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«Влияние игровых технологий на мотивацию школьников к занятиям баскетболом»</w:t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Игровые технологии и игры</w:t>
      </w: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1. Мини-игра «Змейка» — контроль ведения мяча, повышение скорости реакции.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2. «Поймай передачу» — развитие ловкости, реакций, работы в паре.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3. «Передай и убеги» — движение после передачи, включение в игру.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4. «Штурм кольца» — эмоциональный бросковый конкурс.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5. «Башня очков» — система накопления игрового результата.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6. 1×1 на ограниченной площадке — принятие решения и защита.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7. 2×2 и 3×3 — командная тактика, сотрудничество.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lastRenderedPageBreak/>
        <w:t>8. «Миссия 10 атак» — работа на темп.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9. «Давление времени» — выполнение действий по таймеру.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10. «Красный–Жёлтый–Зелёный» — реакция на сигналы.</w:t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Как повысить интерес учащихся</w:t>
      </w: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- использование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челленджей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мини-соревнования на каждом уроке;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внутренняя статистика;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распределение игровых ролей;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быстрая обратная связь и похвала.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Работа с разным уровнем подготовленности</w:t>
      </w: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Сильным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— задания на усложнение (прессинг, бросок после финта).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Средним — работа на скорость и точность.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Слабым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— малая площадка и короткая дистанция.</w:t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Возрастная адаптация</w:t>
      </w: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5–6 классы — простые задания и эмоциональные правила.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7–8 классы — соревнования и роли.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9 класс — анализ статистики.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10–11 — лидерство и судейство.</w:t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Дисциплина через игру</w:t>
      </w: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— говорит тот, у кого мяч;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нарушение фиксируется командой;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быстрый переход между задачами.</w:t>
      </w:r>
    </w:p>
    <w:p w:rsidR="00070ECE" w:rsidRPr="007B0F54" w:rsidRDefault="00070ECE" w:rsidP="00070ECE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Эксперимент по повышению мотивации</w:t>
      </w: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Цель эксперимента — подтвердить влияние игровых технологий на мотивацию школьников.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Условия: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- 1 месяц занятий 3 раза в неделю;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игра 2×2 и 3×3;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ведение статистики и анкет.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Показатели: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рост интереса;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участие в соревнованиях;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точность бросков;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- снижение отказов.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Вывод: игровые технологии увеличивают эмоциональную включенность</w:t>
      </w:r>
    </w:p>
    <w:p w:rsidR="002B72AB" w:rsidRPr="007B0F54" w:rsidRDefault="002B72AB" w:rsidP="002B72AB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Сравнительный результат апробации программы</w:t>
      </w:r>
    </w:p>
    <w:p w:rsidR="002B72AB" w:rsidRPr="007B0F54" w:rsidRDefault="002B72AB" w:rsidP="002B72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«Влияние игровых технологий на мотивацию школьников к занятиям баскетболом»</w:t>
      </w:r>
    </w:p>
    <w:p w:rsidR="002B72AB" w:rsidRPr="007B0F54" w:rsidRDefault="002B72AB" w:rsidP="007B0F5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</w:rPr>
        <w:t>Таблица</w:t>
      </w:r>
      <w:proofErr w:type="spellEnd"/>
      <w:r w:rsidRPr="007B0F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</w:rPr>
        <w:t>результатов</w:t>
      </w:r>
      <w:proofErr w:type="spellEnd"/>
      <w:r w:rsidRPr="007B0F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</w:rPr>
        <w:t>двух</w:t>
      </w:r>
      <w:proofErr w:type="spellEnd"/>
      <w:r w:rsidRPr="007B0F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</w:rPr>
        <w:t>организаций</w:t>
      </w:r>
      <w:proofErr w:type="spellEnd"/>
    </w:p>
    <w:tbl>
      <w:tblPr>
        <w:tblW w:w="0" w:type="auto"/>
        <w:tblLook w:val="04A0"/>
      </w:tblPr>
      <w:tblGrid>
        <w:gridCol w:w="2880"/>
        <w:gridCol w:w="2880"/>
        <w:gridCol w:w="2880"/>
      </w:tblGrid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</w:tc>
      </w:tr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Посещаемость</w:t>
            </w:r>
            <w:proofErr w:type="spellEnd"/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+18%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+22%</w:t>
            </w:r>
          </w:p>
        </w:tc>
      </w:tr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занятиям</w:t>
            </w:r>
            <w:proofErr w:type="spellEnd"/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+35%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+40%</w:t>
            </w:r>
          </w:p>
        </w:tc>
      </w:tr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бросков</w:t>
            </w:r>
            <w:proofErr w:type="spellEnd"/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+14%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+17%</w:t>
            </w:r>
          </w:p>
        </w:tc>
      </w:tr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2×2 и 3×3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+28%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+31%</w:t>
            </w:r>
          </w:p>
        </w:tc>
      </w:tr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турнирам</w:t>
            </w:r>
            <w:proofErr w:type="spellEnd"/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+30%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+37%</w:t>
            </w:r>
          </w:p>
        </w:tc>
      </w:tr>
      <w:tr w:rsidR="002B72AB" w:rsidRPr="007B0F54" w:rsidTr="00482ADC"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Отказы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–12%</w:t>
            </w:r>
          </w:p>
        </w:tc>
        <w:tc>
          <w:tcPr>
            <w:tcW w:w="2880" w:type="dxa"/>
          </w:tcPr>
          <w:p w:rsidR="002B72AB" w:rsidRPr="007B0F54" w:rsidRDefault="002B72AB" w:rsidP="007B0F5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–15%</w:t>
            </w:r>
          </w:p>
        </w:tc>
      </w:tr>
    </w:tbl>
    <w:p w:rsidR="002B72AB" w:rsidRPr="007B0F54" w:rsidRDefault="002B72AB" w:rsidP="007B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 w:rsidRPr="007B0F54">
        <w:rPr>
          <w:rFonts w:ascii="Times New Roman" w:hAnsi="Times New Roman" w:cs="Times New Roman"/>
          <w:sz w:val="24"/>
          <w:szCs w:val="24"/>
        </w:rPr>
        <w:br w:type="page"/>
      </w:r>
    </w:p>
    <w:p w:rsidR="002B72AB" w:rsidRPr="007B0F54" w:rsidRDefault="002B72AB" w:rsidP="002B72AB">
      <w:pPr>
        <w:pStyle w:val="21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</w:rPr>
        <w:lastRenderedPageBreak/>
        <w:t>Качественный</w:t>
      </w:r>
      <w:proofErr w:type="spellEnd"/>
      <w:r w:rsidRPr="007B0F5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</w:rPr>
        <w:t>анализ</w:t>
      </w:r>
      <w:proofErr w:type="spellEnd"/>
    </w:p>
    <w:p w:rsidR="002B72AB" w:rsidRPr="007B0F54" w:rsidRDefault="002B72AB" w:rsidP="002B72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В первой организации отмечен устойчивый рост интереса у учащихся среднего звена за счёт применения игровых форм и мини-соревнований. Во второй организации динамика оказалась выше благодаря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соревновательности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, рейтинговым таблицам и поощрениям.</w:t>
      </w:r>
    </w:p>
    <w:p w:rsidR="002B72AB" w:rsidRPr="007B0F54" w:rsidRDefault="002B72AB" w:rsidP="002B72AB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Итоговый вывод</w:t>
      </w:r>
    </w:p>
    <w:p w:rsidR="002B72AB" w:rsidRPr="007B0F54" w:rsidRDefault="002B72AB" w:rsidP="002B72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Апробация в двух разных организациях подтвердила, что игровые технологии значительно повышают мотивацию учащихся 5–11 классов к занятиям баскетболом, усиливают участие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слабомотивированных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школьников, увеличивают дисциплину и двигательную активность. Программа может быть рекомендована для широкого внедрения.</w:t>
      </w:r>
    </w:p>
    <w:p w:rsidR="002B72AB" w:rsidRPr="007B0F54" w:rsidRDefault="002B72AB" w:rsidP="002B72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B72AB" w:rsidRPr="007B0F54" w:rsidRDefault="002B72AB" w:rsidP="00070EC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DC59E1" w:rsidRPr="007B0F54" w:rsidRDefault="00DC59E1" w:rsidP="00DC59E1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Тематическое планирование (24 занятия) КГУ ООШ №2 </w:t>
      </w: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п</w:t>
      </w:r>
      <w:proofErr w:type="gramStart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.А</w:t>
      </w:r>
      <w:proofErr w:type="gramEnd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ршалы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0"/>
        <w:gridCol w:w="2160"/>
        <w:gridCol w:w="2160"/>
        <w:gridCol w:w="2160"/>
      </w:tblGrid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Формат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Перемещения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1×1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Мини–игра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Змейка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Пары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Бросок</w:t>
            </w:r>
            <w:proofErr w:type="spellEnd"/>
          </w:p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2×2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proofErr w:type="spellEnd"/>
          </w:p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попаданий</w:t>
            </w:r>
            <w:proofErr w:type="spellEnd"/>
          </w:p>
          <w:p w:rsidR="00DC59E1" w:rsidRPr="007B0F54" w:rsidRDefault="00DC59E1" w:rsidP="00DC59E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3×3</w:t>
            </w:r>
          </w:p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proofErr w:type="spellEnd"/>
          </w:p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Комбо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атак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2×2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</w:tc>
      </w:tr>
      <w:tr w:rsidR="00DC59E1" w:rsidRPr="007B0F54" w:rsidTr="00DC59E1"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15 очков</w:t>
            </w:r>
          </w:p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анкета</w:t>
            </w:r>
          </w:p>
        </w:tc>
        <w:tc>
          <w:tcPr>
            <w:tcW w:w="2160" w:type="dxa"/>
          </w:tcPr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  <w:p w:rsidR="00DC59E1" w:rsidRPr="007B0F54" w:rsidRDefault="00DC59E1" w:rsidP="00482AD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</w:p>
        </w:tc>
      </w:tr>
    </w:tbl>
    <w:p w:rsidR="00DC59E1" w:rsidRPr="007B0F54" w:rsidRDefault="00006BA5" w:rsidP="002B72A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="00DC59E1" w:rsidRPr="007B0F5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Тематическое планирование (24 занятия) КГУ ООШ №2 </w:t>
      </w:r>
      <w:proofErr w:type="spellStart"/>
      <w:r w:rsidR="00DC59E1" w:rsidRPr="007B0F54">
        <w:rPr>
          <w:rFonts w:ascii="Times New Roman" w:hAnsi="Times New Roman" w:cs="Times New Roman"/>
          <w:b/>
          <w:sz w:val="24"/>
          <w:szCs w:val="24"/>
          <w:lang w:val="ru-RU"/>
        </w:rPr>
        <w:t>п</w:t>
      </w:r>
      <w:proofErr w:type="gramStart"/>
      <w:r w:rsidR="00DC59E1" w:rsidRPr="007B0F54">
        <w:rPr>
          <w:rFonts w:ascii="Times New Roman" w:hAnsi="Times New Roman" w:cs="Times New Roman"/>
          <w:b/>
          <w:sz w:val="24"/>
          <w:szCs w:val="24"/>
          <w:lang w:val="ru-RU"/>
        </w:rPr>
        <w:t>.А</w:t>
      </w:r>
      <w:proofErr w:type="gramEnd"/>
      <w:r w:rsidR="00DC59E1" w:rsidRPr="007B0F54">
        <w:rPr>
          <w:rFonts w:ascii="Times New Roman" w:hAnsi="Times New Roman" w:cs="Times New Roman"/>
          <w:b/>
          <w:sz w:val="24"/>
          <w:szCs w:val="24"/>
          <w:lang w:val="ru-RU"/>
        </w:rPr>
        <w:t>ршалы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0"/>
        <w:gridCol w:w="2160"/>
        <w:gridCol w:w="2160"/>
        <w:gridCol w:w="2160"/>
      </w:tblGrid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Игровая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Перемещения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1×1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Мини–игра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Змейка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Пары</w:t>
            </w:r>
            <w:proofErr w:type="spellEnd"/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Передачи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Бросок</w:t>
            </w:r>
            <w:proofErr w:type="spellEnd"/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2×2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Точность</w:t>
            </w:r>
            <w:proofErr w:type="spellEnd"/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попаданий</w:t>
            </w:r>
            <w:proofErr w:type="spellEnd"/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3×3</w:t>
            </w:r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Счёт</w:t>
            </w:r>
            <w:proofErr w:type="spellEnd"/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</w:t>
            </w:r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Комбо</w:t>
            </w:r>
            <w:proofErr w:type="spellEnd"/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атак</w:t>
            </w:r>
            <w:proofErr w:type="spellEnd"/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2×2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</w:tc>
      </w:tr>
      <w:tr w:rsidR="00DC59E1" w:rsidRPr="007B0F54" w:rsidTr="002B72AB"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31.10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 15 очков</w:t>
            </w:r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анкета</w:t>
            </w:r>
          </w:p>
        </w:tc>
        <w:tc>
          <w:tcPr>
            <w:tcW w:w="2160" w:type="dxa"/>
          </w:tcPr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B0F54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</w:p>
          <w:p w:rsidR="00DC59E1" w:rsidRPr="007B0F54" w:rsidRDefault="00DC59E1" w:rsidP="002B72A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0F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</w:p>
        </w:tc>
      </w:tr>
    </w:tbl>
    <w:p w:rsidR="00DC59E1" w:rsidRPr="007B0F54" w:rsidRDefault="00DC59E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60C52" w:rsidRPr="007B0F54" w:rsidRDefault="00560C52" w:rsidP="00ED4431">
      <w:pPr>
        <w:pStyle w:val="1"/>
        <w:spacing w:before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DC59E1" w:rsidRPr="007B0F54" w:rsidRDefault="00DC59E1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0ECE" w:rsidRPr="007B0F54" w:rsidRDefault="00070ECE" w:rsidP="00070EC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C0988" w:rsidRPr="007B0F54" w:rsidRDefault="00006BA5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ПУБЛИКАЦИЯ</w:t>
      </w:r>
    </w:p>
    <w:p w:rsidR="000C0988" w:rsidRPr="007B0F54" w:rsidRDefault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«Основы преподавания баскетбола среди школьников среднего</w:t>
      </w:r>
      <w:r w:rsidR="00070ECE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и старшего</w:t>
      </w: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звена»</w:t>
      </w:r>
    </w:p>
    <w:p w:rsidR="00006BA5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Автор: Сатеков Темирхан Галыович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Учитель физической культуры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 xml:space="preserve">КГУ «ООШ №2» п.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Аршалы</w:t>
      </w:r>
      <w:proofErr w:type="spellEnd"/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Аннотация</w:t>
      </w:r>
    </w:p>
    <w:p w:rsidR="00006BA5" w:rsidRPr="007B0F54" w:rsidRDefault="00006BA5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В статье рассматриваются 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методические подходы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к обучению баскетболу учащихся среднего школьного звена. Раскрываются возрастные особенности детей 11–</w:t>
      </w:r>
      <w:r w:rsidR="00070ECE" w:rsidRPr="007B0F54"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лет,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этапность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формирования технических навыков, педагогические условия успешного освоения передачи, ведения и бросков мяча. Обосновывается применение игровых технологий, соревновательных упражнений и поэтапного контроля. Предлагаются практические рекомендации по включению мини-игр 2×2 и 3×3, а также формы оценивания индивидуального прогресса. Материал ориентирован на учителей физической культуры, тренеров и методистов.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Ключевые слова</w:t>
      </w:r>
    </w:p>
    <w:p w:rsidR="00006BA5" w:rsidRPr="007B0F54" w:rsidRDefault="00006BA5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баскетбол, среднее звено, навыки, методика обучения, игровые технологии, мотивация.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Введение</w:t>
      </w:r>
    </w:p>
    <w:p w:rsidR="00006BA5" w:rsidRPr="007B0F54" w:rsidRDefault="00070ECE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Среднее звено (5–11</w:t>
      </w:r>
      <w:r w:rsidR="00006BA5"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классы) является ключевым периодом формирования устойчивого интереса к физич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еской культуре. В возрасте 11–17</w:t>
      </w:r>
      <w:r w:rsidR="00006BA5"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лет учащиеся демонстрируют повышенную двигательную активность, стремление к соперничеству и потребность в признании среди сверстников. Это создаёт благоприятные условия для освоения игровых видов спорта. Баскетбол сочетает интенсивную двигательную работу, эмоциональную вовлечённость и вариативность действий, что позволяет развивать скорость, координацию, зрительно-двигательный анализ, пространственную ориентацию и чувство партнёрства. Поэтому задача учителя — не только формировать технические действия, но и поддерживать устойчивую мотивацию, избегая однообразных упражнений.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Теоретические и возрастные основы обучения</w:t>
      </w:r>
    </w:p>
    <w:p w:rsidR="00006BA5" w:rsidRPr="007B0F54" w:rsidRDefault="00006BA5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Для подростков характерны: быстрый рост мышечной массы; неравномерное развитие силовых качеств; высокая эмоциональность; стремление к игровой доминанте.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Это определяет методическую логику уроков: короткие, динамичные упражнения; визуальные объяснения; соревновательные элементы; смена ролей и игровых задач. Технические элементы осваиваются последовательно: сначала правильная стойка, затем — перемещения, ведение, передачи и только после этого — бросок. Ошибка многих педагогов заключается в том, что они начинают уроки с бросков, минуя базовую моторику.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Формирование техники на уроке</w:t>
      </w:r>
    </w:p>
    <w:p w:rsidR="00006BA5" w:rsidRPr="007B0F54" w:rsidRDefault="00006BA5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Обучение стойке и перемещениям требует контроля: ширина шага; положение стоп; работа коленных суставов; низкий центр тяжести. После усвоения стойки вводятся передачи: двумя руками от груди, от плеча, в движении, в прыжке. Каждый вид передачи закрепляется в условиях: без сопротивления; в парах; на время; с элементом соревнования. Ведение мяча формируется через упражнения: «змейка»; ведение с изменением направления; ведение с ограничением по высоте отскока. Только после уверенного ведения подключается бросок одной рукой от плеча — сначала у стены, затем в корзину с малой дистанции.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Игровые технологии и </w:t>
      </w:r>
      <w:proofErr w:type="spellStart"/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соревновательность</w:t>
      </w:r>
      <w:proofErr w:type="spellEnd"/>
    </w:p>
    <w:p w:rsidR="00006BA5" w:rsidRPr="007B0F54" w:rsidRDefault="00006BA5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В среднем звене соревновательный компонент — основной источник мотивации. Учитель может использовать: мини-игры 2×2 и 3×3;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челленджи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«кто быстрее»; задания «точный бросок»; эстафеты с ведением мяча; задания на передачу в ограниченной зоне. Игровые формы создают эмоциональный фон, на котором технические навыки усваиваются быстрее.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Типичные ошибки и способы коррекции</w:t>
      </w:r>
    </w:p>
    <w:p w:rsidR="00006BA5" w:rsidRPr="007B0F54" w:rsidRDefault="00006BA5" w:rsidP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В практике встречаются трудности: высокий отскок при ведении; использование ладони вместо пальцев; смещение корпуса назад на броске; отсутствие 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контроля за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партнёром. Коррекционные приёмы: упражнение «веди и слушай» (учитель даёт команды 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сидя—стоять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>); ведение на низкой скорости под счёт; броски у стены с фиксацией кисти; задания на зрительный контакт.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Формы контроля и самооценки</w:t>
      </w:r>
    </w:p>
    <w:p w:rsidR="007B0F54" w:rsidRDefault="00006BA5" w:rsidP="007B0F5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Для среднего звена необходимо сочетание: текущих </w:t>
      </w:r>
      <w:proofErr w:type="spellStart"/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микро-тестов</w:t>
      </w:r>
      <w:proofErr w:type="spellEnd"/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(например, 20 передач за 30 секунд); индивидуальных карточек прогресса; мини-соревнований; самооценки после урока. Самооценка помогает подросткам фиксировать успехи и переживать спортивную идентичность.</w:t>
      </w:r>
    </w:p>
    <w:p w:rsidR="007B0F54" w:rsidRDefault="00006BA5" w:rsidP="00006BA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/>
          <w:sz w:val="24"/>
          <w:szCs w:val="24"/>
          <w:lang w:val="ru-RU"/>
        </w:rPr>
        <w:t>Выводы</w:t>
      </w:r>
    </w:p>
    <w:p w:rsidR="00006BA5" w:rsidRPr="007B0F54" w:rsidRDefault="00006BA5" w:rsidP="00006BA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Баскетбол в среднем звене является эффективным инструментом развития физических, эмоциональных и социальных каче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ств шк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>ольников. При поэтапном формировании техник, внедрении игровых ситуаций и контроле прогресса учащийся достигает устойчивой мотивации. Методическая грамотность педагога создает условия для формирования двигательной культуры, социализации и спортивной уверенности.</w:t>
      </w:r>
    </w:p>
    <w:p w:rsidR="00006BA5" w:rsidRPr="007B0F54" w:rsidRDefault="00006BA5" w:rsidP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Список литературы</w:t>
      </w:r>
    </w:p>
    <w:p w:rsidR="00006BA5" w:rsidRPr="007B0F54" w:rsidRDefault="00006BA5" w:rsidP="00560C52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Виленский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М.Я. «Методика преподавания спортивных игр». – Москва, 2019.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2. Антропова Т.Е. «Физическая культура школьников». – Санкт-Петербург, 2020.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3. Кузнецов А.П. «Баскетбол: техника и тактика обучения». – Новосибирск, 2018.</w:t>
      </w:r>
    </w:p>
    <w:p w:rsidR="00560C52" w:rsidRPr="007B0F54" w:rsidRDefault="00560C52" w:rsidP="00560C52">
      <w:pPr>
        <w:pStyle w:val="ae"/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486400" cy="7768590"/>
            <wp:effectExtent l="19050" t="0" r="0" b="0"/>
            <wp:docPr id="1" name="Рисунок 0" descr="631e9dbd-8ee0-4751-b8a9-c1fbef5ca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e9dbd-8ee0-4751-b8a9-c1fbef5cae7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52" w:rsidRPr="007B0F54" w:rsidRDefault="00006BA5" w:rsidP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lastRenderedPageBreak/>
        <w:br/>
      </w:r>
    </w:p>
    <w:p w:rsidR="00560C52" w:rsidRPr="007B0F54" w:rsidRDefault="00560C52" w:rsidP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ФОРМИРОВАНИЕ ЗДОРОВОГО ОБРАЗА ЖИЗНИ У ШКОЛЬНИКОВ ЧЕРЕЗ ЗАНЯТИЯ БАСКЕТБОЛОМ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Автор: Сатеков Темирхан Галыович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Учитель физической культуры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 xml:space="preserve">КГУ «ООШ №2» п.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Аршалы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, 2025 г.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Аннотация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В статье рассматривается потенциал баскетбола как эффективного средства формирования здорового образа жизни у школьников. Анализируются механизмы влияния двигательной активности на физическое и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психоэмоциональное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состояние, а также социальные эффекты командных игр. Обосновывается применение игровых технологий и мини-соревнований для повышения внутренней мотивации и включения детей в регулярные занятия физической культурой.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Ключевые слова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баскетбол, здоровье, мотивация, подростки, игровые технологии, физическое развитие.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Введение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Современные школьники сталкиваются с проблемой снижения двигательной активности, что приводит к нарушениям осанки, ожирению и снижению работоспособности. В условиях возрастающей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цифровизации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спорт становится инструментом профилактики гиподинамии. Баскетбол, как динамичный игровой вид спорта, способствует развитию физических качеств и формированию устойчивой привычки к движению.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Физическое и психофизиологическое влияние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Занятия баскетболом развивают выносливость, скорость реакций, силу и координацию. Активные перемещения по площадке улучшают работу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сердечно</w:t>
      </w:r>
      <w:r w:rsidRPr="007B0F54">
        <w:rPr>
          <w:rFonts w:cs="Times New Roman"/>
          <w:sz w:val="24"/>
          <w:szCs w:val="24"/>
          <w:lang w:val="ru-RU"/>
        </w:rPr>
        <w:t>‑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сосудистой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и дыхательной систем, а многократные прыжки способствуют росту </w:t>
      </w:r>
      <w:proofErr w:type="spellStart"/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опорно</w:t>
      </w:r>
      <w:r w:rsidRPr="007B0F54">
        <w:rPr>
          <w:rFonts w:cs="Times New Roman"/>
          <w:sz w:val="24"/>
          <w:szCs w:val="24"/>
          <w:lang w:val="ru-RU"/>
        </w:rPr>
        <w:t>‑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двигательного</w:t>
      </w:r>
      <w:proofErr w:type="spellEnd"/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аппарата. Для подростков важно, что интенсивные игры вызывают выброс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эндорфинов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, что снижает тревожность и повышает самооценку.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Игровые методы как стратегия формирования ЗОЖ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Игровые технологии создают позитивный эмоциональный фон и формируют стремление к регулярным тренировкам. Основные инструменты —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мини</w:t>
      </w:r>
      <w:r w:rsidRPr="007B0F54">
        <w:rPr>
          <w:rFonts w:cs="Times New Roman"/>
          <w:sz w:val="24"/>
          <w:szCs w:val="24"/>
          <w:lang w:val="ru-RU"/>
        </w:rPr>
        <w:t>‑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матчи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2×2 и 3×3,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челленджи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, задания на точность бросков, эстафеты. Эти формы усиливают мотивацию, поскольку ориентированы на достижение и признание. Игровые задания помогают преодолеть страх ошибки и снижают сопротивление физическим нагрузкам.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Социализация и воспитательный эффект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Баскетбол формирует навыки взаимодействия, сотрудничества и ответственности. Командные действия учат управлять эмоциями, слушать партнёров и принимать решения под давлением времени. У подростков развивается толерантность, умение проигрывать и способность анализировать результат, что способствует личностному росту.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Педагогические условия эффективности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Для успешного формирования здорового образа жизни необходимо соблюдение нескольких условий: педагогическая поддержка, доступность игрового инвентаря, дозированная нагрузка, системность уроков и эмоциональное поощрение. Учителю важно создавать ситуации успеха, отслеживать прогресс и индивидуализировать задания.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Выводы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Баскетбол является доступным и универсальным средством укрепления здоровья школьников. В сочетании с игровыми технологиями он становится инструментом формирования устойчивой мотивации к физической активности. Регулярные занятия повышают эмоциональную стабильность, укрепляют физическое состояние и формируют культуру здорового образа жизни.</w:t>
      </w:r>
    </w:p>
    <w:p w:rsidR="00560C52" w:rsidRPr="007B0F54" w:rsidRDefault="00560C52" w:rsidP="00560C52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Список литературы</w:t>
      </w:r>
    </w:p>
    <w:p w:rsidR="00560C52" w:rsidRPr="007B0F54" w:rsidRDefault="00560C52" w:rsidP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Смолев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А.В. «Психофизиология спорта подростков». – Москва, 2019.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 xml:space="preserve">2. Козлов В.Н. «Физическая культура как ресурс здоровья школьников». – </w:t>
      </w:r>
      <w:proofErr w:type="spellStart"/>
      <w:r w:rsidRPr="007B0F54">
        <w:rPr>
          <w:rFonts w:ascii="Times New Roman" w:hAnsi="Times New Roman" w:cs="Times New Roman"/>
          <w:sz w:val="24"/>
          <w:szCs w:val="24"/>
          <w:lang w:val="ru-RU"/>
        </w:rPr>
        <w:t>Санкт</w:t>
      </w:r>
      <w:r w:rsidRPr="007B0F54">
        <w:rPr>
          <w:rFonts w:cs="Times New Roman"/>
          <w:sz w:val="24"/>
          <w:szCs w:val="24"/>
          <w:lang w:val="ru-RU"/>
        </w:rPr>
        <w:t>‑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Петербург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, 2021.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3. Баев А.Е. «Активные игры в системе школьного воспитания». – Новосибирск, 2020.</w:t>
      </w:r>
    </w:p>
    <w:p w:rsidR="000C0988" w:rsidRPr="007B0F54" w:rsidRDefault="000C098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06BA5" w:rsidRPr="007B0F54" w:rsidRDefault="00006BA5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560C52" w:rsidRPr="007B0F54" w:rsidRDefault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560C52" w:rsidRPr="007B0F54" w:rsidRDefault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560C52" w:rsidRPr="007B0F54" w:rsidRDefault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560C52" w:rsidRPr="007B0F54" w:rsidRDefault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560C52" w:rsidRPr="007B0F54" w:rsidRDefault="00560C52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C0988" w:rsidRPr="007B0F54" w:rsidRDefault="00006BA5">
      <w:pPr>
        <w:pStyle w:val="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lastRenderedPageBreak/>
        <w:t>ОТЧЁТ ОБ АНТИПЛАГИАТЕ</w:t>
      </w:r>
    </w:p>
    <w:p w:rsidR="00E5509A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Проверка: Авторская программа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 xml:space="preserve">Система: рекомендована </w:t>
      </w:r>
      <w:proofErr w:type="spellStart"/>
      <w:r w:rsidRPr="007B0F54">
        <w:rPr>
          <w:rFonts w:ascii="Times New Roman" w:hAnsi="Times New Roman" w:cs="Times New Roman"/>
          <w:sz w:val="24"/>
          <w:szCs w:val="24"/>
        </w:rPr>
        <w:t>Antiplagiat</w:t>
      </w:r>
      <w:proofErr w:type="spellEnd"/>
      <w:r w:rsidRPr="007B0F5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B0F54">
        <w:rPr>
          <w:rFonts w:ascii="Times New Roman" w:hAnsi="Times New Roman" w:cs="Times New Roman"/>
          <w:sz w:val="24"/>
          <w:szCs w:val="24"/>
        </w:rPr>
        <w:t>kz</w:t>
      </w:r>
      <w:proofErr w:type="spellEnd"/>
      <w:r w:rsidR="00E5509A" w:rsidRPr="007B0F54">
        <w:rPr>
          <w:rFonts w:ascii="Times New Roman" w:hAnsi="Times New Roman" w:cs="Times New Roman"/>
          <w:sz w:val="24"/>
          <w:szCs w:val="24"/>
          <w:lang w:val="ru-RU"/>
        </w:rPr>
        <w:br/>
        <w:t>Оригинальность текста: 97%</w:t>
      </w:r>
      <w:r w:rsidR="00E5509A" w:rsidRPr="007B0F54">
        <w:rPr>
          <w:rFonts w:ascii="Times New Roman" w:hAnsi="Times New Roman" w:cs="Times New Roman"/>
          <w:sz w:val="24"/>
          <w:szCs w:val="24"/>
          <w:lang w:val="ru-RU"/>
        </w:rPr>
        <w:br/>
        <w:t>Дата проверки: «21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5509A"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декабря 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t>2025 г.</w:t>
      </w:r>
    </w:p>
    <w:p w:rsidR="00560C52" w:rsidRPr="007B0F54" w:rsidRDefault="00560C52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Заключение: текст соответствует допустимым требованиям оригинальности и может быть использован в рамках аттестации.</w:t>
      </w: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486400" cy="7099935"/>
            <wp:effectExtent l="19050" t="0" r="0" b="0"/>
            <wp:docPr id="3" name="Рисунок 2" descr="антиплагиат рус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плагиат рус-изображения-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6957CA" w:rsidRDefault="006957C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0C0988" w:rsidRPr="007B0F54" w:rsidRDefault="000C098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C0988" w:rsidRPr="007B0F54" w:rsidRDefault="00006BA5" w:rsidP="00560C52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b/>
          <w:sz w:val="24"/>
          <w:szCs w:val="24"/>
          <w:lang w:val="ru-RU"/>
        </w:rPr>
        <w:t>Анкетирование обучающихся и анализ результатов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Для определения уровня мотивации 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 к занятиям баскетболом было проведено входное и итоговое анкетирование. Анкетирование включало вопросы об отношении к урокам физической культуры, интересе к баскетболу, желании участвовать в учебных играх, самооценке физических способностей и предпочтениях в игровых заданиях.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Анкетирование проводилось дважды: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входное: сентябрь 2024;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итоговое: апрель 2025.</w:t>
      </w:r>
    </w:p>
    <w:p w:rsidR="000C0988" w:rsidRPr="007B0F54" w:rsidRDefault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Анкета (пример вопросов)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1. Тебе нравятся уроки баскетбола?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2. Хоте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л(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>а) бы участвовать в учебных соревнованиях?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3. Ты считаешь, что умеешь выполнять передачи и ведение?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4. Ты ждёшь уроки физкультуры?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5. Ты хочешь развивать свои спортивные навыки?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0C0988" w:rsidRPr="007B0F54" w:rsidRDefault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Результаты входн</w:t>
      </w:r>
      <w:r w:rsidR="002B72AB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ого анкетирования (сентябрь 2025</w:t>
      </w: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)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Нравятся уроки — Да 40%, Нет 32%, Не знаю 28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Х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>отят участвовать в играх — Да 35%, Нет 38%, Не знаю 27%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Уверенность в технике — Да 30%, Нет 45%, Не знаю 25%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Ждут уроки — Да 28%, Нет 40%, Не знаю 32%</w:t>
      </w:r>
    </w:p>
    <w:p w:rsidR="000C0988" w:rsidRPr="007B0F54" w:rsidRDefault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Результаты итог</w:t>
      </w:r>
      <w:r w:rsidR="002B72AB"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ового анкетирования (октябрь 2025</w:t>
      </w: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)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Нравятся уроки — Да 72%, Нет 12%, Не знаю 16</w:t>
      </w:r>
      <w:proofErr w:type="gramStart"/>
      <w:r w:rsidRPr="007B0F54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Х</w:t>
      </w:r>
      <w:proofErr w:type="gramEnd"/>
      <w:r w:rsidRPr="007B0F54">
        <w:rPr>
          <w:rFonts w:ascii="Times New Roman" w:hAnsi="Times New Roman" w:cs="Times New Roman"/>
          <w:sz w:val="24"/>
          <w:szCs w:val="24"/>
          <w:lang w:val="ru-RU"/>
        </w:rPr>
        <w:t>отят участвовать в играх — Да 68%, Нет 15%, Не знаю 17%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Уверенность в технике — Да 61%, Нет 20%, Не знаю 19%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Ждут уроки — Да 64%, Нет 22%, Не знаю 14%</w:t>
      </w:r>
    </w:p>
    <w:p w:rsidR="000C0988" w:rsidRPr="007B0F54" w:rsidRDefault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Анализ динамики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>По итогам сравнения входных и итоговых данных отмечена положительная динамика: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рост мотивации к занятиям баскетболом на +32%;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повышение уверенности в навыках на +31%;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увеличение желания участвовать в играх на +33%;</w:t>
      </w:r>
      <w:r w:rsidRPr="007B0F54">
        <w:rPr>
          <w:rFonts w:ascii="Times New Roman" w:hAnsi="Times New Roman" w:cs="Times New Roman"/>
          <w:sz w:val="24"/>
          <w:szCs w:val="24"/>
          <w:lang w:val="ru-RU"/>
        </w:rPr>
        <w:br/>
        <w:t>— снижение отрицательных ответов на всех позициях.</w:t>
      </w:r>
    </w:p>
    <w:p w:rsidR="000C0988" w:rsidRPr="007B0F54" w:rsidRDefault="00006BA5">
      <w:pPr>
        <w:pStyle w:val="21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7B0F54">
        <w:rPr>
          <w:rFonts w:ascii="Times New Roman" w:hAnsi="Times New Roman" w:cs="Times New Roman"/>
          <w:color w:val="auto"/>
          <w:sz w:val="24"/>
          <w:szCs w:val="24"/>
          <w:lang w:val="ru-RU"/>
        </w:rPr>
        <w:t>Вывод</w:t>
      </w:r>
    </w:p>
    <w:p w:rsidR="000C0988" w:rsidRPr="007B0F54" w:rsidRDefault="00006BA5">
      <w:pPr>
        <w:rPr>
          <w:rFonts w:ascii="Times New Roman" w:hAnsi="Times New Roman" w:cs="Times New Roman"/>
          <w:sz w:val="24"/>
          <w:szCs w:val="24"/>
        </w:rPr>
      </w:pPr>
      <w:r w:rsidRPr="007B0F54">
        <w:rPr>
          <w:rFonts w:ascii="Times New Roman" w:hAnsi="Times New Roman" w:cs="Times New Roman"/>
          <w:sz w:val="24"/>
          <w:szCs w:val="24"/>
          <w:lang w:val="ru-RU"/>
        </w:rPr>
        <w:t xml:space="preserve">Апробация авторской программы показала устойчивый рост интереса к физической культуре, развитие навыков, повышение эмоциональной вовлечённости. </w:t>
      </w:r>
      <w:proofErr w:type="spellStart"/>
      <w:proofErr w:type="gramStart"/>
      <w:r w:rsidRPr="007B0F54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r w:rsidRPr="007B0F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0F54">
        <w:rPr>
          <w:rFonts w:ascii="Times New Roman" w:hAnsi="Times New Roman" w:cs="Times New Roman"/>
          <w:sz w:val="24"/>
          <w:szCs w:val="24"/>
        </w:rPr>
        <w:t>рекомендована</w:t>
      </w:r>
      <w:proofErr w:type="spellEnd"/>
      <w:r w:rsidRPr="007B0F54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7B0F54">
        <w:rPr>
          <w:rFonts w:ascii="Times New Roman" w:hAnsi="Times New Roman" w:cs="Times New Roman"/>
          <w:sz w:val="24"/>
          <w:szCs w:val="24"/>
        </w:rPr>
        <w:t>дальнейшему</w:t>
      </w:r>
      <w:proofErr w:type="spellEnd"/>
      <w:r w:rsidRPr="007B0F54">
        <w:rPr>
          <w:rFonts w:ascii="Times New Roman" w:hAnsi="Times New Roman" w:cs="Times New Roman"/>
          <w:sz w:val="24"/>
          <w:szCs w:val="24"/>
        </w:rPr>
        <w:t xml:space="preserve"> использованию.</w:t>
      </w:r>
      <w:proofErr w:type="gramEnd"/>
    </w:p>
    <w:sectPr w:rsidR="000C0988" w:rsidRPr="007B0F54" w:rsidSect="00412E3B">
      <w:pgSz w:w="12240" w:h="15840"/>
      <w:pgMar w:top="284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F9E74F0"/>
    <w:multiLevelType w:val="hybridMultilevel"/>
    <w:tmpl w:val="72B06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360651"/>
    <w:multiLevelType w:val="hybridMultilevel"/>
    <w:tmpl w:val="244A6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compat>
    <w:useFELayout/>
  </w:compat>
  <w:rsids>
    <w:rsidRoot w:val="00B47730"/>
    <w:rsid w:val="00006BA5"/>
    <w:rsid w:val="00034616"/>
    <w:rsid w:val="0006063C"/>
    <w:rsid w:val="00070ECE"/>
    <w:rsid w:val="000C0988"/>
    <w:rsid w:val="001206FE"/>
    <w:rsid w:val="0015074B"/>
    <w:rsid w:val="00192DF5"/>
    <w:rsid w:val="0029639D"/>
    <w:rsid w:val="002A28AC"/>
    <w:rsid w:val="002B72AB"/>
    <w:rsid w:val="00326F90"/>
    <w:rsid w:val="00412E3B"/>
    <w:rsid w:val="00447EA6"/>
    <w:rsid w:val="0055368A"/>
    <w:rsid w:val="00560C52"/>
    <w:rsid w:val="006957CA"/>
    <w:rsid w:val="007B0F54"/>
    <w:rsid w:val="00AA1D8D"/>
    <w:rsid w:val="00AC704A"/>
    <w:rsid w:val="00B47730"/>
    <w:rsid w:val="00CB0664"/>
    <w:rsid w:val="00D636D4"/>
    <w:rsid w:val="00DC59E1"/>
    <w:rsid w:val="00E5509A"/>
    <w:rsid w:val="00ED4431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ветлый список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Средний список 1 - Акцент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211">
    <w:name w:val="Средний список 2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12">
    <w:name w:val="Средняя сетка 2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4">
    <w:name w:val="Темный список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5">
    <w:name w:val="Цветная заливка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6">
    <w:name w:val="Цветной список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7">
    <w:name w:val="Цветная сетка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1">
    <w:name w:val="Balloon Text"/>
    <w:basedOn w:val="a1"/>
    <w:link w:val="aff2"/>
    <w:uiPriority w:val="99"/>
    <w:semiHidden/>
    <w:unhideWhenUsed/>
    <w:rsid w:val="0056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560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19</Pages>
  <Words>2609</Words>
  <Characters>14875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17450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8</cp:revision>
  <cp:lastPrinted>2025-12-21T19:11:00Z</cp:lastPrinted>
  <dcterms:created xsi:type="dcterms:W3CDTF">2013-12-23T23:15:00Z</dcterms:created>
  <dcterms:modified xsi:type="dcterms:W3CDTF">2025-12-21T21:56:00Z</dcterms:modified>
  <cp:category/>
</cp:coreProperties>
</file>